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Кадровые технологии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«Кадровые технологии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документацией и архивами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антикризисное управление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Психология и социология труда</w:t>
            </w:r>
          </w:p>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Кадровая служба в организации. Особенности трудового законодательства России в 2021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Этапы оформления приёма на работу: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Защита персональных данных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Рабочее время и время отдыха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Поощрения и дисциплинарные взыскания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Аттестация работников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22.76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Кадровая служба в организации. Особенности трудового законодательства России в 2021 г.</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Кадровая служба в организации:</w:t>
            </w:r>
          </w:p>
          <w:p>
            <w:pPr>
              <w:jc w:val="both"/>
              <w:spacing w:after="0" w:line="240" w:lineRule="auto"/>
              <w:rPr>
                <w:sz w:val="24"/>
                <w:szCs w:val="24"/>
              </w:rPr>
            </w:pPr>
            <w:r>
              <w:rPr>
                <w:rFonts w:ascii="Times New Roman" w:hAnsi="Times New Roman" w:cs="Times New Roman"/>
                <w:color w:val="#000000"/>
                <w:sz w:val="24"/>
                <w:szCs w:val="24"/>
              </w:rPr>
              <w:t> •	задачи,</w:t>
            </w:r>
          </w:p>
          <w:p>
            <w:pPr>
              <w:jc w:val="both"/>
              <w:spacing w:after="0" w:line="240" w:lineRule="auto"/>
              <w:rPr>
                <w:sz w:val="24"/>
                <w:szCs w:val="24"/>
              </w:rPr>
            </w:pPr>
            <w:r>
              <w:rPr>
                <w:rFonts w:ascii="Times New Roman" w:hAnsi="Times New Roman" w:cs="Times New Roman"/>
                <w:color w:val="#000000"/>
                <w:sz w:val="24"/>
                <w:szCs w:val="24"/>
              </w:rPr>
              <w:t> •	функции,</w:t>
            </w:r>
          </w:p>
          <w:p>
            <w:pPr>
              <w:jc w:val="both"/>
              <w:spacing w:after="0" w:line="240" w:lineRule="auto"/>
              <w:rPr>
                <w:sz w:val="24"/>
                <w:szCs w:val="24"/>
              </w:rPr>
            </w:pPr>
            <w:r>
              <w:rPr>
                <w:rFonts w:ascii="Times New Roman" w:hAnsi="Times New Roman" w:cs="Times New Roman"/>
                <w:color w:val="#000000"/>
                <w:sz w:val="24"/>
                <w:szCs w:val="24"/>
              </w:rPr>
              <w:t> •	структура,</w:t>
            </w:r>
          </w:p>
          <w:p>
            <w:pPr>
              <w:jc w:val="both"/>
              <w:spacing w:after="0" w:line="240" w:lineRule="auto"/>
              <w:rPr>
                <w:sz w:val="24"/>
                <w:szCs w:val="24"/>
              </w:rPr>
            </w:pPr>
            <w:r>
              <w:rPr>
                <w:rFonts w:ascii="Times New Roman" w:hAnsi="Times New Roman" w:cs="Times New Roman"/>
                <w:color w:val="#000000"/>
                <w:sz w:val="24"/>
                <w:szCs w:val="24"/>
              </w:rPr>
              <w:t> •	документы, регламентирующие деятельность кадровой службы.</w:t>
            </w:r>
          </w:p>
          <w:p>
            <w:pPr>
              <w:jc w:val="both"/>
              <w:spacing w:after="0" w:line="240" w:lineRule="auto"/>
              <w:rPr>
                <w:sz w:val="24"/>
                <w:szCs w:val="24"/>
              </w:rPr>
            </w:pPr>
            <w:r>
              <w:rPr>
                <w:rFonts w:ascii="Times New Roman" w:hAnsi="Times New Roman" w:cs="Times New Roman"/>
                <w:color w:val="#000000"/>
                <w:sz w:val="24"/>
                <w:szCs w:val="24"/>
              </w:rPr>
              <w:t> 2.	Понятие трудового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	трудовой кодекс РФ,</w:t>
            </w:r>
          </w:p>
          <w:p>
            <w:pPr>
              <w:jc w:val="both"/>
              <w:spacing w:after="0" w:line="240" w:lineRule="auto"/>
              <w:rPr>
                <w:sz w:val="24"/>
                <w:szCs w:val="24"/>
              </w:rPr>
            </w:pPr>
            <w:r>
              <w:rPr>
                <w:rFonts w:ascii="Times New Roman" w:hAnsi="Times New Roman" w:cs="Times New Roman"/>
                <w:color w:val="#000000"/>
                <w:sz w:val="24"/>
                <w:szCs w:val="24"/>
              </w:rPr>
              <w:t> •	федеральные законы,</w:t>
            </w:r>
          </w:p>
          <w:p>
            <w:pPr>
              <w:jc w:val="both"/>
              <w:spacing w:after="0" w:line="240" w:lineRule="auto"/>
              <w:rPr>
                <w:sz w:val="24"/>
                <w:szCs w:val="24"/>
              </w:rPr>
            </w:pPr>
            <w:r>
              <w:rPr>
                <w:rFonts w:ascii="Times New Roman" w:hAnsi="Times New Roman" w:cs="Times New Roman"/>
                <w:color w:val="#000000"/>
                <w:sz w:val="24"/>
                <w:szCs w:val="24"/>
              </w:rPr>
              <w:t> •	иные нормативные правовые акты, содержащие нормы трудового права.</w:t>
            </w:r>
          </w:p>
          <w:p>
            <w:pPr>
              <w:jc w:val="both"/>
              <w:spacing w:after="0" w:line="240" w:lineRule="auto"/>
              <w:rPr>
                <w:sz w:val="24"/>
                <w:szCs w:val="24"/>
              </w:rPr>
            </w:pPr>
            <w:r>
              <w:rPr>
                <w:rFonts w:ascii="Times New Roman" w:hAnsi="Times New Roman" w:cs="Times New Roman"/>
                <w:color w:val="#000000"/>
                <w:sz w:val="24"/>
                <w:szCs w:val="24"/>
              </w:rPr>
              <w:t> 3.	Локальные нормативные акты (ЛНА):</w:t>
            </w:r>
          </w:p>
          <w:p>
            <w:pPr>
              <w:jc w:val="both"/>
              <w:spacing w:after="0" w:line="240" w:lineRule="auto"/>
              <w:rPr>
                <w:sz w:val="24"/>
                <w:szCs w:val="24"/>
              </w:rPr>
            </w:pPr>
            <w:r>
              <w:rPr>
                <w:rFonts w:ascii="Times New Roman" w:hAnsi="Times New Roman" w:cs="Times New Roman"/>
                <w:color w:val="#000000"/>
                <w:sz w:val="24"/>
                <w:szCs w:val="24"/>
              </w:rPr>
              <w:t> •	понятие ЛНА,</w:t>
            </w:r>
          </w:p>
          <w:p>
            <w:pPr>
              <w:jc w:val="both"/>
              <w:spacing w:after="0" w:line="240" w:lineRule="auto"/>
              <w:rPr>
                <w:sz w:val="24"/>
                <w:szCs w:val="24"/>
              </w:rPr>
            </w:pPr>
            <w:r>
              <w:rPr>
                <w:rFonts w:ascii="Times New Roman" w:hAnsi="Times New Roman" w:cs="Times New Roman"/>
                <w:color w:val="#000000"/>
                <w:sz w:val="24"/>
                <w:szCs w:val="24"/>
              </w:rPr>
              <w:t> •	виды ЛНА (обязательные, с учётом специфики),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порядок разработки, согласования, утверждения, применения ЛНА.&gt;</w:t>
            </w:r>
          </w:p>
          <w:p>
            <w:pPr>
              <w:jc w:val="both"/>
              <w:spacing w:after="0" w:line="240" w:lineRule="auto"/>
              <w:rPr>
                <w:sz w:val="24"/>
                <w:szCs w:val="24"/>
              </w:rPr>
            </w:pPr>
            <w:r>
              <w:rPr>
                <w:rFonts w:ascii="Times New Roman" w:hAnsi="Times New Roman" w:cs="Times New Roman"/>
                <w:color w:val="#000000"/>
                <w:sz w:val="24"/>
                <w:szCs w:val="24"/>
              </w:rPr>
              <w:t> •	Унифицированные формы первичной учётной документации по учёту труда и его оплаты: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Этапы оформления приёма на работу:</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проверка документов,</w:t>
            </w:r>
          </w:p>
          <w:p>
            <w:pPr>
              <w:jc w:val="both"/>
              <w:spacing w:after="0" w:line="240" w:lineRule="auto"/>
              <w:rPr>
                <w:sz w:val="24"/>
                <w:szCs w:val="24"/>
              </w:rPr>
            </w:pPr>
            <w:r>
              <w:rPr>
                <w:rFonts w:ascii="Times New Roman" w:hAnsi="Times New Roman" w:cs="Times New Roman"/>
                <w:color w:val="#000000"/>
                <w:sz w:val="24"/>
                <w:szCs w:val="24"/>
              </w:rPr>
              <w:t> •	ознакомление с локальными нормативными актами,</w:t>
            </w:r>
          </w:p>
          <w:p>
            <w:pPr>
              <w:jc w:val="both"/>
              <w:spacing w:after="0" w:line="240" w:lineRule="auto"/>
              <w:rPr>
                <w:sz w:val="24"/>
                <w:szCs w:val="24"/>
              </w:rPr>
            </w:pPr>
            <w:r>
              <w:rPr>
                <w:rFonts w:ascii="Times New Roman" w:hAnsi="Times New Roman" w:cs="Times New Roman"/>
                <w:color w:val="#000000"/>
                <w:sz w:val="24"/>
                <w:szCs w:val="24"/>
              </w:rPr>
              <w:t> •	заключение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	издание приказа о приёме на работу,</w:t>
            </w:r>
          </w:p>
          <w:p>
            <w:pPr>
              <w:jc w:val="both"/>
              <w:spacing w:after="0" w:line="240" w:lineRule="auto"/>
              <w:rPr>
                <w:sz w:val="24"/>
                <w:szCs w:val="24"/>
              </w:rPr>
            </w:pPr>
            <w:r>
              <w:rPr>
                <w:rFonts w:ascii="Times New Roman" w:hAnsi="Times New Roman" w:cs="Times New Roman"/>
                <w:color w:val="#000000"/>
                <w:sz w:val="24"/>
                <w:szCs w:val="24"/>
              </w:rPr>
              <w:t> •	оформление личной карточки работника,</w:t>
            </w:r>
          </w:p>
          <w:p>
            <w:pPr>
              <w:jc w:val="both"/>
              <w:spacing w:after="0" w:line="240" w:lineRule="auto"/>
              <w:rPr>
                <w:sz w:val="24"/>
                <w:szCs w:val="24"/>
              </w:rPr>
            </w:pPr>
            <w:r>
              <w:rPr>
                <w:rFonts w:ascii="Times New Roman" w:hAnsi="Times New Roman" w:cs="Times New Roman"/>
                <w:color w:val="#000000"/>
                <w:sz w:val="24"/>
                <w:szCs w:val="24"/>
              </w:rPr>
              <w:t> •	внесение записи о приёме на работу в трудовую книжку</w:t>
            </w:r>
          </w:p>
          <w:p>
            <w:pPr>
              <w:jc w:val="both"/>
              <w:spacing w:after="0" w:line="240" w:lineRule="auto"/>
              <w:rPr>
                <w:sz w:val="24"/>
                <w:szCs w:val="24"/>
              </w:rPr>
            </w:pPr>
            <w:r>
              <w:rPr>
                <w:rFonts w:ascii="Times New Roman" w:hAnsi="Times New Roman" w:cs="Times New Roman"/>
                <w:color w:val="#000000"/>
                <w:sz w:val="24"/>
                <w:szCs w:val="24"/>
              </w:rPr>
              <w:t> 2.	Трудовой договор:</w:t>
            </w:r>
          </w:p>
          <w:p>
            <w:pPr>
              <w:jc w:val="both"/>
              <w:spacing w:after="0" w:line="240" w:lineRule="auto"/>
              <w:rPr>
                <w:sz w:val="24"/>
                <w:szCs w:val="24"/>
              </w:rPr>
            </w:pPr>
            <w:r>
              <w:rPr>
                <w:rFonts w:ascii="Times New Roman" w:hAnsi="Times New Roman" w:cs="Times New Roman"/>
                <w:color w:val="#000000"/>
                <w:sz w:val="24"/>
                <w:szCs w:val="24"/>
              </w:rPr>
              <w:t> •	понятие,</w:t>
            </w:r>
          </w:p>
          <w:p>
            <w:pPr>
              <w:jc w:val="both"/>
              <w:spacing w:after="0" w:line="240" w:lineRule="auto"/>
              <w:rPr>
                <w:sz w:val="24"/>
                <w:szCs w:val="24"/>
              </w:rPr>
            </w:pPr>
            <w:r>
              <w:rPr>
                <w:rFonts w:ascii="Times New Roman" w:hAnsi="Times New Roman" w:cs="Times New Roman"/>
                <w:color w:val="#000000"/>
                <w:sz w:val="24"/>
                <w:szCs w:val="24"/>
              </w:rPr>
              <w:t> •	содержание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	срок заключения,</w:t>
            </w:r>
          </w:p>
          <w:p>
            <w:pPr>
              <w:jc w:val="both"/>
              <w:spacing w:after="0" w:line="240" w:lineRule="auto"/>
              <w:rPr>
                <w:sz w:val="24"/>
                <w:szCs w:val="24"/>
              </w:rPr>
            </w:pPr>
            <w:r>
              <w:rPr>
                <w:rFonts w:ascii="Times New Roman" w:hAnsi="Times New Roman" w:cs="Times New Roman"/>
                <w:color w:val="#000000"/>
                <w:sz w:val="24"/>
                <w:szCs w:val="24"/>
              </w:rPr>
              <w:t> •	гарантии при заключении трудового договора,</w:t>
            </w:r>
          </w:p>
          <w:p>
            <w:pPr>
              <w:jc w:val="both"/>
              <w:spacing w:after="0" w:line="240" w:lineRule="auto"/>
              <w:rPr>
                <w:sz w:val="24"/>
                <w:szCs w:val="24"/>
              </w:rPr>
            </w:pPr>
            <w:r>
              <w:rPr>
                <w:rFonts w:ascii="Times New Roman" w:hAnsi="Times New Roman" w:cs="Times New Roman"/>
                <w:color w:val="#000000"/>
                <w:sz w:val="24"/>
                <w:szCs w:val="24"/>
              </w:rPr>
              <w:t> •	испытание при приёме на работу.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Защита персональных данных работника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Законодательство Российской Федерации о персональных данных:</w:t>
            </w:r>
          </w:p>
          <w:p>
            <w:pPr>
              <w:jc w:val="both"/>
              <w:spacing w:after="0" w:line="240" w:lineRule="auto"/>
              <w:rPr>
                <w:sz w:val="24"/>
                <w:szCs w:val="24"/>
              </w:rPr>
            </w:pPr>
            <w:r>
              <w:rPr>
                <w:rFonts w:ascii="Times New Roman" w:hAnsi="Times New Roman" w:cs="Times New Roman"/>
                <w:color w:val="#000000"/>
                <w:sz w:val="24"/>
                <w:szCs w:val="24"/>
              </w:rPr>
              <w:t> •	Трудовой кодекс РФ,</w:t>
            </w:r>
          </w:p>
          <w:p>
            <w:pPr>
              <w:jc w:val="both"/>
              <w:spacing w:after="0" w:line="240" w:lineRule="auto"/>
              <w:rPr>
                <w:sz w:val="24"/>
                <w:szCs w:val="24"/>
              </w:rPr>
            </w:pPr>
            <w:r>
              <w:rPr>
                <w:rFonts w:ascii="Times New Roman" w:hAnsi="Times New Roman" w:cs="Times New Roman"/>
                <w:color w:val="#000000"/>
                <w:sz w:val="24"/>
                <w:szCs w:val="24"/>
              </w:rPr>
              <w:t> •	федеральные законы РФ,</w:t>
            </w:r>
          </w:p>
          <w:p>
            <w:pPr>
              <w:jc w:val="both"/>
              <w:spacing w:after="0" w:line="240" w:lineRule="auto"/>
              <w:rPr>
                <w:sz w:val="24"/>
                <w:szCs w:val="24"/>
              </w:rPr>
            </w:pPr>
            <w:r>
              <w:rPr>
                <w:rFonts w:ascii="Times New Roman" w:hAnsi="Times New Roman" w:cs="Times New Roman"/>
                <w:color w:val="#000000"/>
                <w:sz w:val="24"/>
                <w:szCs w:val="24"/>
              </w:rPr>
              <w:t> •	иные нормативные правовые акты о персональных данных.</w:t>
            </w:r>
          </w:p>
          <w:p>
            <w:pPr>
              <w:jc w:val="both"/>
              <w:spacing w:after="0" w:line="240" w:lineRule="auto"/>
              <w:rPr>
                <w:sz w:val="24"/>
                <w:szCs w:val="24"/>
              </w:rPr>
            </w:pPr>
            <w:r>
              <w:rPr>
                <w:rFonts w:ascii="Times New Roman" w:hAnsi="Times New Roman" w:cs="Times New Roman"/>
                <w:color w:val="#000000"/>
                <w:sz w:val="24"/>
                <w:szCs w:val="24"/>
              </w:rPr>
              <w:t> 2.	Персональные данные работника (ПДР):</w:t>
            </w:r>
          </w:p>
          <w:p>
            <w:pPr>
              <w:jc w:val="both"/>
              <w:spacing w:after="0" w:line="240" w:lineRule="auto"/>
              <w:rPr>
                <w:sz w:val="24"/>
                <w:szCs w:val="24"/>
              </w:rPr>
            </w:pPr>
            <w:r>
              <w:rPr>
                <w:rFonts w:ascii="Times New Roman" w:hAnsi="Times New Roman" w:cs="Times New Roman"/>
                <w:color w:val="#000000"/>
                <w:sz w:val="24"/>
                <w:szCs w:val="24"/>
              </w:rPr>
              <w:t> •	понятие ПДР,</w:t>
            </w:r>
          </w:p>
          <w:p>
            <w:pPr>
              <w:jc w:val="both"/>
              <w:spacing w:after="0" w:line="240" w:lineRule="auto"/>
              <w:rPr>
                <w:sz w:val="24"/>
                <w:szCs w:val="24"/>
              </w:rPr>
            </w:pPr>
            <w:r>
              <w:rPr>
                <w:rFonts w:ascii="Times New Roman" w:hAnsi="Times New Roman" w:cs="Times New Roman"/>
                <w:color w:val="#000000"/>
                <w:sz w:val="24"/>
                <w:szCs w:val="24"/>
              </w:rPr>
              <w:t> •	категории ПДР,</w:t>
            </w:r>
          </w:p>
          <w:p>
            <w:pPr>
              <w:jc w:val="both"/>
              <w:spacing w:after="0" w:line="240" w:lineRule="auto"/>
              <w:rPr>
                <w:sz w:val="24"/>
                <w:szCs w:val="24"/>
              </w:rPr>
            </w:pPr>
            <w:r>
              <w:rPr>
                <w:rFonts w:ascii="Times New Roman" w:hAnsi="Times New Roman" w:cs="Times New Roman"/>
                <w:color w:val="#000000"/>
                <w:sz w:val="24"/>
                <w:szCs w:val="24"/>
              </w:rPr>
              <w:t> •	требования при обработке ПДР,</w:t>
            </w:r>
          </w:p>
          <w:p>
            <w:pPr>
              <w:jc w:val="both"/>
              <w:spacing w:after="0" w:line="240" w:lineRule="auto"/>
              <w:rPr>
                <w:sz w:val="24"/>
                <w:szCs w:val="24"/>
              </w:rPr>
            </w:pPr>
            <w:r>
              <w:rPr>
                <w:rFonts w:ascii="Times New Roman" w:hAnsi="Times New Roman" w:cs="Times New Roman"/>
                <w:color w:val="#000000"/>
                <w:sz w:val="24"/>
                <w:szCs w:val="24"/>
              </w:rPr>
              <w:t> •	гарантии их защиты.</w:t>
            </w:r>
          </w:p>
          <w:p>
            <w:pPr>
              <w:jc w:val="both"/>
              <w:spacing w:after="0" w:line="240" w:lineRule="auto"/>
              <w:rPr>
                <w:sz w:val="24"/>
                <w:szCs w:val="24"/>
              </w:rPr>
            </w:pPr>
            <w:r>
              <w:rPr>
                <w:rFonts w:ascii="Times New Roman" w:hAnsi="Times New Roman" w:cs="Times New Roman"/>
                <w:color w:val="#000000"/>
                <w:sz w:val="24"/>
                <w:szCs w:val="24"/>
              </w:rPr>
              <w:t> 3.	Положение о защите ПДР:</w:t>
            </w:r>
          </w:p>
          <w:p>
            <w:pPr>
              <w:jc w:val="both"/>
              <w:spacing w:after="0" w:line="240" w:lineRule="auto"/>
              <w:rPr>
                <w:sz w:val="24"/>
                <w:szCs w:val="24"/>
              </w:rPr>
            </w:pPr>
            <w:r>
              <w:rPr>
                <w:rFonts w:ascii="Times New Roman" w:hAnsi="Times New Roman" w:cs="Times New Roman"/>
                <w:color w:val="#000000"/>
                <w:sz w:val="24"/>
                <w:szCs w:val="24"/>
              </w:rPr>
              <w:t> •	порядок разработки,</w:t>
            </w:r>
          </w:p>
          <w:p>
            <w:pPr>
              <w:jc w:val="both"/>
              <w:spacing w:after="0" w:line="240" w:lineRule="auto"/>
              <w:rPr>
                <w:sz w:val="24"/>
                <w:szCs w:val="24"/>
              </w:rPr>
            </w:pPr>
            <w:r>
              <w:rPr>
                <w:rFonts w:ascii="Times New Roman" w:hAnsi="Times New Roman" w:cs="Times New Roman"/>
                <w:color w:val="#000000"/>
                <w:sz w:val="24"/>
                <w:szCs w:val="24"/>
              </w:rPr>
              <w:t> •	согласования,</w:t>
            </w:r>
          </w:p>
          <w:p>
            <w:pPr>
              <w:jc w:val="both"/>
              <w:spacing w:after="0" w:line="240" w:lineRule="auto"/>
              <w:rPr>
                <w:sz w:val="24"/>
                <w:szCs w:val="24"/>
              </w:rPr>
            </w:pPr>
            <w:r>
              <w:rPr>
                <w:rFonts w:ascii="Times New Roman" w:hAnsi="Times New Roman" w:cs="Times New Roman"/>
                <w:color w:val="#000000"/>
                <w:sz w:val="24"/>
                <w:szCs w:val="24"/>
              </w:rPr>
              <w:t> •	утверждения.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Рабочее время и время отдыха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рабочего времени:</w:t>
            </w:r>
          </w:p>
          <w:p>
            <w:pPr>
              <w:jc w:val="both"/>
              <w:spacing w:after="0" w:line="240" w:lineRule="auto"/>
              <w:rPr>
                <w:sz w:val="24"/>
                <w:szCs w:val="24"/>
              </w:rPr>
            </w:pPr>
            <w:r>
              <w:rPr>
                <w:rFonts w:ascii="Times New Roman" w:hAnsi="Times New Roman" w:cs="Times New Roman"/>
                <w:color w:val="#000000"/>
                <w:sz w:val="24"/>
                <w:szCs w:val="24"/>
              </w:rPr>
              <w:t> •	нормальная и сокращённая продолжительность рабочего времени,</w:t>
            </w:r>
          </w:p>
          <w:p>
            <w:pPr>
              <w:jc w:val="both"/>
              <w:spacing w:after="0" w:line="240" w:lineRule="auto"/>
              <w:rPr>
                <w:sz w:val="24"/>
                <w:szCs w:val="24"/>
              </w:rPr>
            </w:pPr>
            <w:r>
              <w:rPr>
                <w:rFonts w:ascii="Times New Roman" w:hAnsi="Times New Roman" w:cs="Times New Roman"/>
                <w:color w:val="#000000"/>
                <w:sz w:val="24"/>
                <w:szCs w:val="24"/>
              </w:rPr>
              <w:t> •	сверхурочная работа,</w:t>
            </w:r>
          </w:p>
          <w:p>
            <w:pPr>
              <w:jc w:val="both"/>
              <w:spacing w:after="0" w:line="240" w:lineRule="auto"/>
              <w:rPr>
                <w:sz w:val="24"/>
                <w:szCs w:val="24"/>
              </w:rPr>
            </w:pPr>
            <w:r>
              <w:rPr>
                <w:rFonts w:ascii="Times New Roman" w:hAnsi="Times New Roman" w:cs="Times New Roman"/>
                <w:color w:val="#000000"/>
                <w:sz w:val="24"/>
                <w:szCs w:val="24"/>
              </w:rPr>
              <w:t> •	ненормированный рабочий день,</w:t>
            </w:r>
          </w:p>
          <w:p>
            <w:pPr>
              <w:jc w:val="both"/>
              <w:spacing w:after="0" w:line="240" w:lineRule="auto"/>
              <w:rPr>
                <w:sz w:val="24"/>
                <w:szCs w:val="24"/>
              </w:rPr>
            </w:pPr>
            <w:r>
              <w:rPr>
                <w:rFonts w:ascii="Times New Roman" w:hAnsi="Times New Roman" w:cs="Times New Roman"/>
                <w:color w:val="#000000"/>
                <w:sz w:val="24"/>
                <w:szCs w:val="24"/>
              </w:rPr>
              <w:t> •	сменный график работы,</w:t>
            </w:r>
          </w:p>
          <w:p>
            <w:pPr>
              <w:jc w:val="both"/>
              <w:spacing w:after="0" w:line="240" w:lineRule="auto"/>
              <w:rPr>
                <w:sz w:val="24"/>
                <w:szCs w:val="24"/>
              </w:rPr>
            </w:pPr>
            <w:r>
              <w:rPr>
                <w:rFonts w:ascii="Times New Roman" w:hAnsi="Times New Roman" w:cs="Times New Roman"/>
                <w:color w:val="#000000"/>
                <w:sz w:val="24"/>
                <w:szCs w:val="24"/>
              </w:rPr>
              <w:t> •	суммированный учёт рабочего времени.</w:t>
            </w:r>
          </w:p>
          <w:p>
            <w:pPr>
              <w:jc w:val="both"/>
              <w:spacing w:after="0" w:line="240" w:lineRule="auto"/>
              <w:rPr>
                <w:sz w:val="24"/>
                <w:szCs w:val="24"/>
              </w:rPr>
            </w:pPr>
            <w:r>
              <w:rPr>
                <w:rFonts w:ascii="Times New Roman" w:hAnsi="Times New Roman" w:cs="Times New Roman"/>
                <w:color w:val="#000000"/>
                <w:sz w:val="24"/>
                <w:szCs w:val="24"/>
              </w:rPr>
              <w:t> 2.	Время отдыха:</w:t>
            </w:r>
          </w:p>
          <w:p>
            <w:pPr>
              <w:jc w:val="both"/>
              <w:spacing w:after="0" w:line="240" w:lineRule="auto"/>
              <w:rPr>
                <w:sz w:val="24"/>
                <w:szCs w:val="24"/>
              </w:rPr>
            </w:pPr>
            <w:r>
              <w:rPr>
                <w:rFonts w:ascii="Times New Roman" w:hAnsi="Times New Roman" w:cs="Times New Roman"/>
                <w:color w:val="#000000"/>
                <w:sz w:val="24"/>
                <w:szCs w:val="24"/>
              </w:rPr>
              <w:t> •	перерыв для отдыха и питания,</w:t>
            </w:r>
          </w:p>
          <w:p>
            <w:pPr>
              <w:jc w:val="both"/>
              <w:spacing w:after="0" w:line="240" w:lineRule="auto"/>
              <w:rPr>
                <w:sz w:val="24"/>
                <w:szCs w:val="24"/>
              </w:rPr>
            </w:pPr>
            <w:r>
              <w:rPr>
                <w:rFonts w:ascii="Times New Roman" w:hAnsi="Times New Roman" w:cs="Times New Roman"/>
                <w:color w:val="#000000"/>
                <w:sz w:val="24"/>
                <w:szCs w:val="24"/>
              </w:rPr>
              <w:t> •	междусменный отдых,</w:t>
            </w:r>
          </w:p>
          <w:p>
            <w:pPr>
              <w:jc w:val="both"/>
              <w:spacing w:after="0" w:line="240" w:lineRule="auto"/>
              <w:rPr>
                <w:sz w:val="24"/>
                <w:szCs w:val="24"/>
              </w:rPr>
            </w:pPr>
            <w:r>
              <w:rPr>
                <w:rFonts w:ascii="Times New Roman" w:hAnsi="Times New Roman" w:cs="Times New Roman"/>
                <w:color w:val="#000000"/>
                <w:sz w:val="24"/>
                <w:szCs w:val="24"/>
              </w:rPr>
              <w:t> •	выходные дни,</w:t>
            </w:r>
          </w:p>
          <w:p>
            <w:pPr>
              <w:jc w:val="both"/>
              <w:spacing w:after="0" w:line="240" w:lineRule="auto"/>
              <w:rPr>
                <w:sz w:val="24"/>
                <w:szCs w:val="24"/>
              </w:rPr>
            </w:pPr>
            <w:r>
              <w:rPr>
                <w:rFonts w:ascii="Times New Roman" w:hAnsi="Times New Roman" w:cs="Times New Roman"/>
                <w:color w:val="#000000"/>
                <w:sz w:val="24"/>
                <w:szCs w:val="24"/>
              </w:rPr>
              <w:t> •	нерабочие праздничные дни.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Поощрения и дисциплинарные взыскания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Поощрения работников:</w:t>
            </w:r>
          </w:p>
          <w:p>
            <w:pPr>
              <w:jc w:val="both"/>
              <w:spacing w:after="0" w:line="240" w:lineRule="auto"/>
              <w:rPr>
                <w:sz w:val="24"/>
                <w:szCs w:val="24"/>
              </w:rPr>
            </w:pPr>
            <w:r>
              <w:rPr>
                <w:rFonts w:ascii="Times New Roman" w:hAnsi="Times New Roman" w:cs="Times New Roman"/>
                <w:color w:val="#000000"/>
                <w:sz w:val="24"/>
                <w:szCs w:val="24"/>
              </w:rPr>
              <w:t> •	виды поощрений работников</w:t>
            </w:r>
          </w:p>
          <w:p>
            <w:pPr>
              <w:jc w:val="both"/>
              <w:spacing w:after="0" w:line="240" w:lineRule="auto"/>
              <w:rPr>
                <w:sz w:val="24"/>
                <w:szCs w:val="24"/>
              </w:rPr>
            </w:pPr>
            <w:r>
              <w:rPr>
                <w:rFonts w:ascii="Times New Roman" w:hAnsi="Times New Roman" w:cs="Times New Roman"/>
                <w:color w:val="#000000"/>
                <w:sz w:val="24"/>
                <w:szCs w:val="24"/>
              </w:rPr>
              <w:t> •	процедура поощрения работника</w:t>
            </w:r>
          </w:p>
          <w:p>
            <w:pPr>
              <w:jc w:val="both"/>
              <w:spacing w:after="0" w:line="240" w:lineRule="auto"/>
              <w:rPr>
                <w:sz w:val="24"/>
                <w:szCs w:val="24"/>
              </w:rPr>
            </w:pPr>
            <w:r>
              <w:rPr>
                <w:rFonts w:ascii="Times New Roman" w:hAnsi="Times New Roman" w:cs="Times New Roman"/>
                <w:color w:val="#000000"/>
                <w:sz w:val="24"/>
                <w:szCs w:val="24"/>
              </w:rPr>
              <w:t> •	документирование поощрения работников</w:t>
            </w:r>
          </w:p>
          <w:p>
            <w:pPr>
              <w:jc w:val="both"/>
              <w:spacing w:after="0" w:line="240" w:lineRule="auto"/>
              <w:rPr>
                <w:sz w:val="24"/>
                <w:szCs w:val="24"/>
              </w:rPr>
            </w:pPr>
            <w:r>
              <w:rPr>
                <w:rFonts w:ascii="Times New Roman" w:hAnsi="Times New Roman" w:cs="Times New Roman"/>
                <w:color w:val="#000000"/>
                <w:sz w:val="24"/>
                <w:szCs w:val="24"/>
              </w:rPr>
              <w:t> 2.	Применение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	правила применения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	документальное оформление дисциплинарных взысканий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Аттестация работников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Кадровых технологий в ГМС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Прловедение круглых столов по Кадровым технологиям</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июля</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79-ФЗ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Бельянская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http://www.iprbookshop.ru/87532.html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Г.Р.</w:t>
            </w:r>
            <w:r>
              <w:rPr/>
              <w:t xml:space="preserve"> </w:t>
            </w:r>
            <w:r>
              <w:rPr>
                <w:rFonts w:ascii="Times New Roman" w:hAnsi="Times New Roman" w:cs="Times New Roman"/>
                <w:color w:val="#000000"/>
                <w:sz w:val="24"/>
                <w:szCs w:val="24"/>
              </w:rPr>
              <w:t>Державина,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978-5-00078-322-1.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http://www.iprbookshop.ru/109757.html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p>
        </w:tc>
      </w:tr>
      <w:tr>
        <w:trPr>
          <w:trHeight w:hRule="exact" w:val="397.04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http://www.iprbookshop.ru/82668.html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интересов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этики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http://www.iprbookshop.ru/87086.html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2024-2025_ФГОС3++2024_Бак-ОЗФО-ГМУ(ГМС)(24)_plx_Кадровые технологии на государственной гражданской и муниципальной службе</dc:title>
  <dc:creator>FastReport.NET</dc:creator>
</cp:coreProperties>
</file>